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A90402" w:rsidTr="00A90402">
        <w:tc>
          <w:tcPr>
            <w:tcW w:w="0" w:type="auto"/>
            <w:shd w:val="clear" w:color="auto" w:fill="FFFFFF"/>
            <w:hideMark/>
          </w:tcPr>
          <w:p w:rsidR="00A90402" w:rsidRDefault="00A90402">
            <w:pPr>
              <w:shd w:val="clear" w:color="auto" w:fill="FFFFFF"/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575425" cy="1987550"/>
                  <wp:effectExtent l="0" t="0" r="0" b="0"/>
                  <wp:docPr id="4" name="Imagen 4" descr="I'm 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'm 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2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555555"/>
                <w:sz w:val="36"/>
                <w:szCs w:val="36"/>
              </w:rPr>
            </w:pPr>
            <w:r>
              <w:rPr>
                <w:rStyle w:val="Textoennegrita"/>
                <w:rFonts w:ascii="Tahoma" w:hAnsi="Tahoma" w:cs="Tahoma"/>
                <w:color w:val="800080"/>
                <w:sz w:val="36"/>
                <w:szCs w:val="36"/>
              </w:rPr>
              <w:t> CONCLUSIONES DE LA XXI CONFERENCIA REGIONAL DE COOPERATIVAS DE LAS AMÉRICAS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555555"/>
              </w:rPr>
            </w:pPr>
            <w:r>
              <w:rPr>
                <w:rStyle w:val="Textoennegrita"/>
                <w:rFonts w:ascii="Tahoma" w:hAnsi="Tahoma" w:cs="Tahoma"/>
                <w:color w:val="800080"/>
              </w:rPr>
              <w:t> CAMBIO – IMPACTO – SOSTENIBILIDAD COOPERATIVAS, ACTORES ECONÓMICOS CON IMPACTO SOCIAL Y SOSTENIBLE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En la Ciudad de San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Jose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de Costa Rica, a los 20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del mes de noviembre de 2019, se dan por concluidas las jornadas de trabajo de la XXI Conferencia Regional de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– Cambio / Impacto / Sostenibilidad “Cooperativas, actores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económicos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impacto social y sostenible”.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Durante estos tres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han participado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1000 cooperativistas, integrantes de instituciones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promoción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fomento,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asi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como de organizaciones de soporte al Movimiento en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representando a unos 23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a 6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fuera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Las presentes jornadas se han desarrollado en un momento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histórico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particular, donde varios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enfrentan graves crisis institucionales. En consonancia con las definiciones globales de ACI logradas el pasado mes de octubre en Kigali, Ruanda y especialmente con los Objetivos de Desarrollo Sostenible, consagrados en la Agenda 2030 de Naciones Unidas, las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suscriben la responsabilidad que compete a nuestras organizaciones en apoyar los procesos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diálogo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profundización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democrática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resaltando el papel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específico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que las cooperativas pueden jugar para construir sociedades menos desiguales, enfrentando uno de los peores flagelos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históricos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nuestro continente.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Son varios e importantes los productos alcanzados del trabajo de estos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incluyendo las presentaciones,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análisis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recomendaciones de los 15 Laboratorios; los aportes de las Conferencias Magistrales, los Resultados de la 1er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Hackathon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Cooperativo Regional,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asi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como una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síntesis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reuniones de trabajo sectoriales y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temáticas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desarrolladas por 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Comités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Redes. 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Todo este material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sera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integrado en el Documento con las Memorias de la XXI Conferencia Regional y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sera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publicado en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página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web de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lastRenderedPageBreak/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continuación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presentaremos una primera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síntesis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las principales Conclusiones del evento: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br/>
            </w: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(a) Incidencia a nivel de Gobiernos Nacionales y Organismos Intergubernamentales;</w:t>
            </w:r>
            <w:r>
              <w:rPr>
                <w:rFonts w:ascii="Tahoma" w:hAnsi="Tahoma" w:cs="Tahoma"/>
                <w:color w:val="555555"/>
                <w:sz w:val="18"/>
                <w:szCs w:val="18"/>
              </w:rPr>
              <w:br/>
            </w: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 xml:space="preserve">(b) Fortalecimiento de la </w:t>
            </w:r>
            <w:proofErr w:type="spellStart"/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Organización</w:t>
            </w:r>
            <w:proofErr w:type="spellEnd"/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 xml:space="preserve"> Gremial Cooperativa en el Continente; y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 xml:space="preserve">(c) </w:t>
            </w:r>
            <w:proofErr w:type="spellStart"/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Profundización</w:t>
            </w:r>
            <w:proofErr w:type="spellEnd"/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 xml:space="preserve"> de la </w:t>
            </w:r>
            <w:proofErr w:type="spellStart"/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Cooperación</w:t>
            </w:r>
            <w:proofErr w:type="spellEnd"/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 xml:space="preserve"> entre Cooperativas.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1. INCIDENCIA A NIVEL DE GOBIERNOS NACIONALES Y ORGANISMOS INTERGUBERNAMENTALES.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Todavía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se reconocen varias deficiencias en los marcos legales para las cooperativas en muchos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, y no siempre se ha logrado encontrar los caminos para incidir de forma efectiva a nivel de los Gobiernos. Algo similar ocurre con los organismos intergubernamentales.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>Las Organizaciones Nacionales y la ACI necesitan fortalecer sus capacidades para hacer esta incidencia y construir las alianzas necesarias para ello.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plantea la importancia de pasar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Gobierno hacia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Estado, que no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estén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sujetas 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variación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los cambios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, sino que se sostengan a partir de un amplio consenso social.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señala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la importancia de avanzar en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coordinación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públicas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hacia el sector que permitan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implementación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programas interinstitucionales.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pública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legislación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debe respetar la identidad cooperativa; pero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también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las mismas cooperativas deben respetar su propia identidad y no asemejarse con otras organizaciones que no son de la ESS. Por ejemplo, debe cuidarse el buen gobierno cooperativo y la transparencia.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Los interlocutores de Gobierno y organismos intergubernamentales deben comprender la especificidad de la naturaleza cooperativa, y el significado que tiene en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términos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desarrollo sostenible su propia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promoción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. Es relevante la consulta al Movimiento Cooperativo cuando se vayan a tomar definiciones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que directa o indirectamente afecten al sector. 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señala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por otra parte la importancia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participación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los gobiernos locales en las estrategias de desarrollo 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integración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cooperativas.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pondra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disposición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pocos meses un estudio comparado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legislación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cooperativa en 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miembros de la ACI.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También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presento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al Foro Interparlamentario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Economía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Solidaria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un protocolo de funcionamiento para que los legisladores presentes lo firmaran en 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próximos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ha reafirmado el compromiso de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el Decenio de la Agricultura Familiar, incentivando las acciones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extensión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rural con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énfasis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las cooperativas. En este sentido 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señala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apoyar los sistemas de registro de los 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lastRenderedPageBreak/>
              <w:t xml:space="preserve">agricultores y entidades cooperativas de Agricultura Familiar.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También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el involucrar a las cooperativas como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vehículos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para el acceso 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tecnología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inclusión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Los Estados deben reconocer que la vivienda es un derecho y no una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mercancía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deben asegurar mecanismos para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promoción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desarrollo de cooperativas en este sector.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características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específicas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cooperativas de trabajo requieren un esfuerzo particular para propiciar legislaciones que efectivamente permitan su desarrollo, siendo claves para profundizar las opciones de trabajo digno.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A nivel de ahorro y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crédito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es necesario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acompañar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los lineamientos de la ACI para incidir a nivel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las normas internacionales que no distinguen nuestra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específica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identidad.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Es importante avanzar hacia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constitución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sistemas de Cuentas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Satélite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a nivel de 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sistemas de indicadores que reporten el impacto de las cooperativas en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relación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el empleo, la salud,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educación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alimentación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, entre otros.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2. FORTALECIMIENTO DE LA ORGANIZACIÓN GREMIAL COOPERATIVA.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La realidad continental nos muestra que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aún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existe mucho camino por recorrer para lograr una efectiva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integración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gremial cooperativa a nivel de varios de nuestros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.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se compromete a colaborar en aquellos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donde es necesario organizar o fortalecer gremialmente al Movimiento. La ventaja de trabajar con los ODS es que permite orientar el trabajo del Movimiento Cooperativo Nacional y Regional con una mirada de largo plazo.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ha planteado la importancia de avanzar en las estrategias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inclusión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juventud para adaptar las propuestas de valor del Movimiento, colaborando en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construcción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los nuevos escenarios en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relación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el uso creativo de las nuevas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tecnologías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observa que los hombres siguen predominando en los cargos de toma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decisión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por lo que sigue siendo prioritario implementar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equidad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género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las organizaciones del Movimiento.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firmo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un acta con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adhesión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10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dando lugar al Grupo Promotor de la Red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Comunicación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que facilitará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implementación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estrategia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comunicación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regional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señalando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como cada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acción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impacta a los ODS. Es muy importante volver a enamorar a nuestras comunidades con el papel de las cooperativas como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vehículos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construcción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bienestar y desarrollo.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ratifico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la importancia de profundizar el papel de las organizaciones cooperativas como protagonistas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cooperación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internacional 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través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Plataforma de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para el Desarrollo, incentivando a las organizaciones presentes a sumarse a esta estrategia regional.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3. PROFUNDIZACIÓN DE LA COOPERACIÓN ENTRE COOPERATIVAS.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lastRenderedPageBreak/>
              <w:t xml:space="preserve">La confianza y la transparencia son base para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integración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económica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cooperativa.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También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identificación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necesidades de las personas asociadas y la forma en que estas necesidades se repiten y son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fácilmente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abordables en forma conjunta.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propone realizar un mapeo de cooperativas para visualizar las oportunidades de los servicios y productos que las propias cooperativas ofrecen, ya que no hay mejor alternativa para el desarrollo sostenible del sistema que la riqueza generada se mantenga en las propias comunidades y dentro del sector, mediante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creación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plataformas de transferencia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tecnológica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de conocimiento.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Las alternativas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intercooperación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deben desarrollarse dentro y entre sectores,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asi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como 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través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estrategias de cadenas, redes,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clusters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propiciando instrumentos de apoyo como incubadoras, nuevos instrumentos de financiamiento, sistemas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comercialización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otros.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propone lograr alianzas con sectores no cooperativos siempre que no afecten nuestra identidad. En particular con otras entidades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Economía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Social y Solidaria, generando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metodologías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necesarias para facilitar este encuentro. 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deberían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estimular alianzas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público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- privadas que permitan captar recursos financieros fuera del sector.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propone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creación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un banco de buenas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prácticas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experiencias,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asi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́ como mecanismos para facilitar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implementación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general del Balance Social Cooperativo entre las cooperativas de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>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Se recomienda promover y difundir la Red de Consumo de Cooperativas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articulando iniciativas y alianzas intercontinentales.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Otros aportes que son transversales a los Ejes incluyen la necesidad de retomar y profundizar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educación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valores,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capacitación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para el futuro del trabajo,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prospección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adaptación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tecnologías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resguardo de los valores y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creación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comités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para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educación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el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diseño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implementación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prácticas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ambientalmente amigables.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En particular se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señala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la importancia de que las cooperativas en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Región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incorporen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temática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 sostenibilidad ambiental como una prioridad en sus agendas, tanto a nivel local, nacional como internacional, y se conviertan en un aliado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estratégico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para los Gobiernos en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implementación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políticas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en este sentido.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Style w:val="Textoennegrita"/>
                <w:rFonts w:ascii="Tahoma" w:hAnsi="Tahoma" w:cs="Tahoma"/>
                <w:color w:val="555555"/>
                <w:sz w:val="23"/>
                <w:szCs w:val="23"/>
              </w:rPr>
              <w:t>4. CONCLUSIÓN GENERAL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Con casi 200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años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existencia, y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100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años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vida en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las cooperativas han sabido desarrollarse en un continente que arrastra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históricos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desafíos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no resueltos. El impacto para el cambio y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construcción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sociedades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sostenibles pasa de manera imprescindible por expandir y profundizar la presencia y actividad cooperativa en todo el continente.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lastRenderedPageBreak/>
              <w:t xml:space="preserve">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análisis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y especialmente las propuestas desarrolladas durante los pasados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días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de trabajo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serán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un valioso insumo para terminar de definir las estrategias a mediano plazo, pero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también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las acciones a corto plazo de nuestro Movimiento.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3"/>
                <w:szCs w:val="23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La coyuntura de las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Américas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nos necesita una vez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actuando juntos, orientados muy especialmente por nuestros valores de Igualdad, Democracia y Solidaridad,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comprometiéndonos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los Objetivos de Desarrollo Sostenible en cada uno de nuestros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países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pero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también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inspirados por la Responsabilidad Social y por la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Preocupación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por los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demás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, con una mirada de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</w:rPr>
              <w:t>colaboración</w:t>
            </w:r>
            <w:proofErr w:type="spellEnd"/>
            <w:r>
              <w:rPr>
                <w:rFonts w:ascii="Tahoma" w:hAnsi="Tahoma" w:cs="Tahoma"/>
                <w:color w:val="555555"/>
                <w:sz w:val="23"/>
                <w:szCs w:val="23"/>
              </w:rPr>
              <w:t xml:space="preserve"> con nuestros pueblos hermanos, y en forma general, con toda la Humanidad. 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555555"/>
                <w:sz w:val="18"/>
                <w:szCs w:val="18"/>
              </w:rPr>
              <w:t> </w:t>
            </w:r>
          </w:p>
          <w:p w:rsidR="00A90402" w:rsidRDefault="00A904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A90402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8"/>
                  </w:tblGrid>
                  <w:tr w:rsidR="00A9040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0402" w:rsidRDefault="00A9040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A90402" w:rsidRDefault="00A9040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90402" w:rsidRDefault="00A90402">
            <w:pPr>
              <w:shd w:val="clear" w:color="auto" w:fill="FFFFFF"/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255895" cy="1590040"/>
                  <wp:effectExtent l="0" t="0" r="1905" b="0"/>
                  <wp:docPr id="3" name="Imagen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589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A90402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70"/>
                  </w:tblGrid>
                  <w:tr w:rsidR="00A90402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75" w:type="dxa"/>
                          <w:right w:w="45" w:type="dxa"/>
                        </w:tcMar>
                        <w:hideMark/>
                      </w:tcPr>
                      <w:p w:rsidR="00A90402" w:rsidRDefault="00A9040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2260" cy="302260"/>
                              <wp:effectExtent l="0" t="0" r="2540" b="2540"/>
                              <wp:docPr id="2" name="Imagen 2" descr="Facebook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60" cy="302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75" w:type="dxa"/>
                          <w:right w:w="45" w:type="dxa"/>
                        </w:tcMar>
                        <w:hideMark/>
                      </w:tcPr>
                      <w:p w:rsidR="00A90402" w:rsidRDefault="00A9040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2260" cy="302260"/>
                              <wp:effectExtent l="0" t="0" r="2540" b="2540"/>
                              <wp:docPr id="1" name="Imagen 1" descr="Twitter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60" cy="302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90402" w:rsidRDefault="00A9040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90402" w:rsidRDefault="00A90402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96BE7" w:rsidRDefault="00A90402"/>
    <w:sectPr w:rsidR="00A96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02"/>
    <w:rsid w:val="001101DA"/>
    <w:rsid w:val="00502575"/>
    <w:rsid w:val="00A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79C5-883E-46D6-829E-BB16BC3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02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40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9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m.ica.coop/sites/all/modules/civicrm/extern/url.php?u=33591&amp;qid=16969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m.ica.coop/sites/all/modules/civicrm/extern/url.php?u=33590&amp;qid=169698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UAEOS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Arturo Baquero Hernandez</dc:creator>
  <cp:keywords/>
  <dc:description/>
  <cp:lastModifiedBy>Jaime Arturo Baquero Hernandez</cp:lastModifiedBy>
  <cp:revision>1</cp:revision>
  <dcterms:created xsi:type="dcterms:W3CDTF">2019-11-26T15:15:00Z</dcterms:created>
  <dcterms:modified xsi:type="dcterms:W3CDTF">2019-11-26T15:16:00Z</dcterms:modified>
</cp:coreProperties>
</file>